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8B" w:rsidRDefault="0094768B" w:rsidP="0094768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94768B" w:rsidRDefault="0094768B" w:rsidP="0094768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Президиумом Верховного Суда</w:t>
      </w:r>
    </w:p>
    <w:p w:rsidR="0094768B" w:rsidRDefault="0094768B" w:rsidP="0094768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4768B" w:rsidRDefault="0094768B" w:rsidP="0094768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30 июня 2017 г.</w:t>
      </w:r>
    </w:p>
    <w:p w:rsidR="0094768B" w:rsidRDefault="0094768B" w:rsidP="0094768B">
      <w:pPr>
        <w:autoSpaceDE w:val="0"/>
        <w:autoSpaceDN w:val="0"/>
        <w:adjustRightInd w:val="0"/>
        <w:spacing w:after="0" w:line="240" w:lineRule="auto"/>
        <w:jc w:val="both"/>
        <w:outlineLvl w:val="0"/>
        <w:rPr>
          <w:rFonts w:ascii="Arial" w:hAnsi="Arial" w:cs="Arial"/>
          <w:sz w:val="20"/>
          <w:szCs w:val="20"/>
        </w:rPr>
      </w:pPr>
    </w:p>
    <w:p w:rsidR="0094768B" w:rsidRDefault="0094768B" w:rsidP="0094768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ОБЗОР</w:t>
      </w:r>
    </w:p>
    <w:p w:rsidR="0094768B" w:rsidRDefault="0094768B" w:rsidP="0094768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СУДЕБНОЙ ПРАКТИКИ ПО ДЕЛАМ ПО ЗАЯВЛЕНИЯМ</w:t>
      </w:r>
    </w:p>
    <w:p w:rsidR="0094768B" w:rsidRDefault="0094768B" w:rsidP="0094768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ПРОКУРОРОВ ОБ ОБРАЩЕНИИ В ДОХОД РОССИЙСКОЙ ФЕДЕРАЦИИ</w:t>
      </w:r>
    </w:p>
    <w:p w:rsidR="0094768B" w:rsidRDefault="0094768B" w:rsidP="0094768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ИМУЩЕСТВА, В ОТНОШЕНИИ КОТОРОГО НЕ ПРЕДСТАВЛЕНЫ</w:t>
      </w:r>
    </w:p>
    <w:p w:rsidR="0094768B" w:rsidRDefault="0094768B" w:rsidP="0094768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СООТВЕТСТВИИ С ЗАКОНОДАТЕЛЬСТВОМ О ПРОТИВОДЕЙСТВИИ</w:t>
      </w:r>
    </w:p>
    <w:p w:rsidR="0094768B" w:rsidRDefault="0094768B" w:rsidP="0094768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КОРРУПЦИИ ДОКАЗАТЕЛЬСТВА ЕГО ПРИОБРЕТЕНИЯ</w:t>
      </w:r>
    </w:p>
    <w:p w:rsidR="0094768B" w:rsidRDefault="0094768B" w:rsidP="0094768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ЗАКОННЫЕ ДОХОДЫ</w:t>
      </w:r>
    </w:p>
    <w:p w:rsidR="0094768B" w:rsidRDefault="0094768B" w:rsidP="0094768B">
      <w:pPr>
        <w:autoSpaceDE w:val="0"/>
        <w:autoSpaceDN w:val="0"/>
        <w:adjustRightInd w:val="0"/>
        <w:spacing w:after="0" w:line="240" w:lineRule="auto"/>
        <w:jc w:val="both"/>
        <w:rPr>
          <w:rFonts w:ascii="Arial" w:hAnsi="Arial" w:cs="Arial"/>
          <w:sz w:val="20"/>
          <w:szCs w:val="20"/>
        </w:rPr>
      </w:pPr>
    </w:p>
    <w:p w:rsidR="0094768B" w:rsidRDefault="0094768B" w:rsidP="0094768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Верховным Судом Российской Федерации в соответствии со </w:t>
      </w:r>
      <w:hyperlink r:id="rId5" w:history="1">
        <w:r>
          <w:rPr>
            <w:rFonts w:ascii="Arial" w:hAnsi="Arial" w:cs="Arial"/>
            <w:color w:val="0000FF"/>
            <w:sz w:val="20"/>
            <w:szCs w:val="20"/>
          </w:rPr>
          <w:t>статьями 2</w:t>
        </w:r>
      </w:hyperlink>
      <w:r>
        <w:rPr>
          <w:rFonts w:ascii="Arial" w:hAnsi="Arial" w:cs="Arial"/>
          <w:sz w:val="20"/>
          <w:szCs w:val="20"/>
        </w:rPr>
        <w:t xml:space="preserve"> и </w:t>
      </w:r>
      <w:hyperlink r:id="rId6" w:history="1">
        <w:r>
          <w:rPr>
            <w:rFonts w:ascii="Arial" w:hAnsi="Arial" w:cs="Arial"/>
            <w:color w:val="0000FF"/>
            <w:sz w:val="20"/>
            <w:szCs w:val="20"/>
          </w:rPr>
          <w:t>7</w:t>
        </w:r>
      </w:hyperlink>
      <w:r>
        <w:rPr>
          <w:rFonts w:ascii="Arial" w:hAnsi="Arial" w:cs="Arial"/>
          <w:sz w:val="20"/>
          <w:szCs w:val="20"/>
        </w:rPr>
        <w:t xml:space="preserve"> Федерального конституционного закона от 5 февраля 2014 г. N 3-ФКЗ "О Верховном Суде Российской Федерации" в целях обеспечения единообразного применения законодательства Российской Федерации о противодействии коррупции проведено обобщение практики рассмотрения судами в 2013 - 2016 гг. дел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Согласно информации, представленной областными и равными им судами, со дня вступления в силу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т.е. с 1 января 2013 г. по 1 января 2017 г. судами окончено производство по 19 делам, из которых по 12 делам (63%) исковые требования прокурора удовлетворены полностью или частично, по 7 делам (37%) в удовлетворении требований отказано.</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hyperlink r:id="rId9" w:history="1">
        <w:r>
          <w:rPr>
            <w:rFonts w:ascii="Arial" w:hAnsi="Arial" w:cs="Arial"/>
            <w:color w:val="0000FF"/>
            <w:sz w:val="20"/>
            <w:szCs w:val="20"/>
          </w:rPr>
          <w:t>статья 8.1</w:t>
        </w:r>
      </w:hyperlink>
      <w:r>
        <w:rPr>
          <w:rFonts w:ascii="Arial" w:hAnsi="Arial" w:cs="Arial"/>
          <w:sz w:val="20"/>
          <w:szCs w:val="20"/>
        </w:rPr>
        <w:t xml:space="preserve"> Федерального закона от 25 декабря 2008 г. N 273-ФЗ "О противодействии коррупции" (далее - Федеральный закон "О противодействии коррупции").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Категории лиц, в отношении которых осуществляется контроль за расходами, и порядок осуществления такого контроля установлены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Согласно </w:t>
      </w:r>
      <w:hyperlink r:id="rId11" w:history="1">
        <w:r>
          <w:rPr>
            <w:rFonts w:ascii="Arial" w:hAnsi="Arial" w:cs="Arial"/>
            <w:color w:val="0000FF"/>
            <w:sz w:val="20"/>
            <w:szCs w:val="20"/>
          </w:rPr>
          <w:t>части 1 статьи 3</w:t>
        </w:r>
      </w:hyperlink>
      <w:r>
        <w:rPr>
          <w:rFonts w:ascii="Arial" w:hAnsi="Arial" w:cs="Arial"/>
          <w:sz w:val="20"/>
          <w:szCs w:val="20"/>
        </w:rPr>
        <w:t xml:space="preserve"> данного федерального закона лицо, замещающее (занимающее) одну из указанных выше 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положениями </w:t>
      </w:r>
      <w:hyperlink r:id="rId12" w:history="1">
        <w:r>
          <w:rPr>
            <w:rFonts w:ascii="Arial" w:hAnsi="Arial" w:cs="Arial"/>
            <w:color w:val="0000FF"/>
            <w:sz w:val="20"/>
            <w:szCs w:val="20"/>
          </w:rPr>
          <w:t>подпункта 8 пункта 2 статьи 235</w:t>
        </w:r>
      </w:hyperlink>
      <w:r>
        <w:rPr>
          <w:rFonts w:ascii="Arial" w:hAnsi="Arial" w:cs="Arial"/>
          <w:sz w:val="20"/>
          <w:szCs w:val="20"/>
        </w:rPr>
        <w:t xml:space="preserve"> Гражданского кодекса Российской Федерации (далее - ГК РФ) имущество,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 решению суда подлежит обращению в доход Российской Федерации.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Такие дела в соответствии со </w:t>
      </w:r>
      <w:hyperlink r:id="rId13" w:history="1">
        <w:r>
          <w:rPr>
            <w:rFonts w:ascii="Arial" w:hAnsi="Arial" w:cs="Arial"/>
            <w:color w:val="0000FF"/>
            <w:sz w:val="20"/>
            <w:szCs w:val="20"/>
          </w:rPr>
          <w:t>статьей 28</w:t>
        </w:r>
      </w:hyperlink>
      <w:r>
        <w:rPr>
          <w:rFonts w:ascii="Arial" w:hAnsi="Arial" w:cs="Arial"/>
          <w:sz w:val="20"/>
          <w:szCs w:val="20"/>
        </w:rPr>
        <w:t xml:space="preserve"> Гражданского процессуального кодекса Российской Федерации (далее - ГПК РФ) рассматриваются в качестве суда первой инстанции районным судом по месту </w:t>
      </w:r>
      <w:r>
        <w:rPr>
          <w:rFonts w:ascii="Arial" w:hAnsi="Arial" w:cs="Arial"/>
          <w:sz w:val="20"/>
          <w:szCs w:val="20"/>
        </w:rPr>
        <w:lastRenderedPageBreak/>
        <w:t>жительства ответчика, в том числе в случаях, если прокурором заявлены требования об обращении в доход Российской Федерации недвижимого имущества.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силу положений </w:t>
      </w:r>
      <w:hyperlink r:id="rId14" w:history="1">
        <w:r>
          <w:rPr>
            <w:rFonts w:ascii="Arial" w:hAnsi="Arial" w:cs="Arial"/>
            <w:color w:val="0000FF"/>
            <w:sz w:val="20"/>
            <w:szCs w:val="20"/>
          </w:rPr>
          <w:t>части 1 статьи 56</w:t>
        </w:r>
      </w:hyperlink>
      <w:r>
        <w:rPr>
          <w:rFonts w:ascii="Arial" w:hAnsi="Arial" w:cs="Arial"/>
          <w:sz w:val="20"/>
          <w:szCs w:val="20"/>
        </w:rPr>
        <w:t xml:space="preserve"> ГПК РФ прокурор обязан представить доказательства приобретения ответчиком (ответчиками) в отчетном периоде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его (их) общий доход за три последних года, предшествующих отчетному периоду.</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частности, прокурор обязан представить доказательства принадлежности спорного имущества кому-либо из ответчиков, приобретения его в отчетном периоде, доказательства, подтверждающие действительную стоимость имущества, факт превышения стоимости этого имущества по отношению к совокупному доходу ответчиков за три последних года, предшествовавших отчетному периоду, а также материалы, свидетельствующие о соблюдении при осуществлении контроля за расходами процедуры, установленной Федеральным </w:t>
      </w:r>
      <w:hyperlink r:id="rId15" w:history="1">
        <w:r>
          <w:rPr>
            <w:rFonts w:ascii="Arial" w:hAnsi="Arial" w:cs="Arial"/>
            <w:color w:val="0000FF"/>
            <w:sz w:val="20"/>
            <w:szCs w:val="20"/>
          </w:rPr>
          <w:t>законом</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Следует учитывать, что действующее законодательство не предусматривает возможности учета в числе расходов лица, в отношении которого осуществляется контроль за расходами, и членов его семьи прожиточного минимума, затрат на оплату коммунальных услуг, алиментных выплат и других, не относящихся к расходам на приобретение имущества, предусмотренного положениями </w:t>
      </w:r>
      <w:hyperlink r:id="rId16" w:history="1">
        <w:r>
          <w:rPr>
            <w:rFonts w:ascii="Arial" w:hAnsi="Arial" w:cs="Arial"/>
            <w:color w:val="0000FF"/>
            <w:sz w:val="20"/>
            <w:szCs w:val="20"/>
          </w:rPr>
          <w:t>части 1 статьи 4</w:t>
        </w:r>
      </w:hyperlink>
      <w:r>
        <w:rPr>
          <w:rFonts w:ascii="Arial" w:hAnsi="Arial" w:cs="Arial"/>
          <w:sz w:val="20"/>
          <w:szCs w:val="20"/>
        </w:rPr>
        <w:t xml:space="preserve">, </w:t>
      </w:r>
      <w:hyperlink r:id="rId17" w:history="1">
        <w:r>
          <w:rPr>
            <w:rFonts w:ascii="Arial" w:hAnsi="Arial" w:cs="Arial"/>
            <w:color w:val="0000FF"/>
            <w:sz w:val="20"/>
            <w:szCs w:val="20"/>
          </w:rPr>
          <w:t>статьи 17</w:t>
        </w:r>
      </w:hyperlink>
      <w:r>
        <w:rPr>
          <w:rFonts w:ascii="Arial" w:hAnsi="Arial" w:cs="Arial"/>
          <w:sz w:val="20"/>
          <w:szCs w:val="20"/>
        </w:rPr>
        <w:t xml:space="preserve"> Федерального закона "О контроле за соответствием расходов лиц, замещающих государственные должности, и иных лиц их доходам".</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Бремя доказывания законного источника происхождения средств, позволивших приобрести такое имущество, возлагается на ответчика (ответчиков). При этом суд вправе принимать любые допустимые </w:t>
      </w:r>
      <w:hyperlink r:id="rId18" w:history="1">
        <w:r>
          <w:rPr>
            <w:rFonts w:ascii="Arial" w:hAnsi="Arial" w:cs="Arial"/>
            <w:color w:val="0000FF"/>
            <w:sz w:val="20"/>
            <w:szCs w:val="20"/>
          </w:rPr>
          <w:t>ГПК</w:t>
        </w:r>
      </w:hyperlink>
      <w:r>
        <w:rPr>
          <w:rFonts w:ascii="Arial" w:hAnsi="Arial" w:cs="Arial"/>
          <w:sz w:val="20"/>
          <w:szCs w:val="20"/>
        </w:rPr>
        <w:t xml:space="preserve"> РФ доказательства, представленные как лицом, в отношении которого осуществляется контроль за расходами, так и его супругой (супругом) и - с особенностями, установленными данным </w:t>
      </w:r>
      <w:hyperlink r:id="rId19" w:history="1">
        <w:r>
          <w:rPr>
            <w:rFonts w:ascii="Arial" w:hAnsi="Arial" w:cs="Arial"/>
            <w:color w:val="0000FF"/>
            <w:sz w:val="20"/>
            <w:szCs w:val="20"/>
          </w:rPr>
          <w:t>кодексом</w:t>
        </w:r>
      </w:hyperlink>
      <w:r>
        <w:rPr>
          <w:rFonts w:ascii="Arial" w:hAnsi="Arial" w:cs="Arial"/>
          <w:sz w:val="20"/>
          <w:szCs w:val="20"/>
        </w:rPr>
        <w:t>, - несовершеннолетними детьми в подтверждение законного происхождения средств, затраченных на приобретение спорного имущества, независимо от того, когда эти средства были получены, отражены ли они в соответствующей справке (декларации) или были обнаружены государственными органами в ходе проведения контрольных мероприятий.</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Ответчиками могут быть, в частности, представлены доказательства получения ими денежных средств по гражданско-правовым сделкам (например, по договорам займа, дарения).</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выявлении незначительного расхождения доходов, законность происхождения которых подтверждена, и размера расходов на приобретение соответствующего имущества суд вправе определить ту его часть, которая приобретена на доходы, законность происхождения которых не доказана, и потому подлежит обращению в доход Российской Федерации.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Прокурор обратился в суд с заявлением к К., замещающей должность главного специалиста службы правовой экспертизы и судебных дел администрации муниципального района, и ее супругу о взыскании солидарно в доход Российской Федерации стоимости автомобиля в размере 2 800 000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Решением суда первой инстанции заявление прокурора о взыскании солидарно с К. и ее супруга в доход Российской Федерации денежных средств в сумме 2 800 000 руб. было удовлетворено в полном объеме.</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Признавая обоснованными выводы суда первой инстанции о солидарном взыскании с ответчиков в доход Российской Федерации денежной суммы, судебная коллегия по гражданским делам верховного суда республики не согласилась с ее размером, указав следующее.</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Судом установлено, что в отчетном периоде супругом К. приобретен автомобиль стоимостью 2 800 000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обращения прокурора в суд с заявлением автомобиль был отчужден ответчиком по договору купли-продажи третьему лицу.</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Совокупный доход ответчиков за три последних года, предшествующих отчетному периоду, составил 2 702 391 руб., что не соответствовало сумме расходов на приобретение автомобиля и превысило общий доход семьи на 97 609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Доводы ответчиков относительно источников происхождения этих средств были проверены судом.</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Исходя из фактических обстоятельств дела, судебная коллегия правомерно признала данное превышение расходов над доходами (на 3,5%) незначительным и пришла к выводу о необходимости взыскания на основании </w:t>
      </w:r>
      <w:hyperlink r:id="rId20" w:history="1">
        <w:r>
          <w:rPr>
            <w:rFonts w:ascii="Arial" w:hAnsi="Arial" w:cs="Arial"/>
            <w:color w:val="0000FF"/>
            <w:sz w:val="20"/>
            <w:szCs w:val="20"/>
          </w:rPr>
          <w:t>подпункта 8 пункта 2 статьи 235</w:t>
        </w:r>
      </w:hyperlink>
      <w:r>
        <w:rPr>
          <w:rFonts w:ascii="Arial" w:hAnsi="Arial" w:cs="Arial"/>
          <w:sz w:val="20"/>
          <w:szCs w:val="20"/>
        </w:rPr>
        <w:t xml:space="preserve"> ГК РФ в доход государства не всей стоимости автомобиля, а только суммы 97 609 руб. - денежного эквивалента стоимости части имущества, законность приобретения которой не доказана.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 Если в обоснование законности доходов ответчик ссылается на получение им денежных средств по гражданско-правовым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Пример N 1</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прокурора области обратился в суд с заявлением к начальнику отдела по взаимодействию со структурами социальной сферы, общественными организациями и территориальным общественным самоуправлением администрации муниципального района Ж.Л. об обращении в доход Российской Федерации квартиры, автомобиля и машиноместа.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Судом установлено, что в течение отчетного периода Ж.Л. приобретены квартира стоимостью 2 900 000 руб., автомобиль стоимостью 700 000 руб. и машиноместо стоимостью 552 500 руб., а всего на сумму 4 152 500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Подтвержденный доход Ж.Л. за три последних года, предшествующих отчетному периоду, согласно представленным прокурором доказательствам составил 2 780 081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осуществления контроля за расходами Ж.Л. указывал, что источником получения средств, за счет которых приобретено недвижимое имущество и автомобиль, являются ранее накопленные и кредитные средства. В судебном заседании Ж.Л. дополнительно пояснял, что спорное имущество приобретено в том числе с использованием денежных средств в размере 2 000 000 руб., предоставленных родным братом Ж.Л. - Ж.И. по договору займа.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Факт передачи денежных средств был подтвержден договором займа, заключенным между Ж.И. и Ж.Л., распиской, выпиской по счету, принадлежащему Ж.Л., свидетельствующей о зачислении 2 000 000 руб., показаниями допрошенного в качестве свидетеля Ж.И.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Оценив по правилам </w:t>
      </w:r>
      <w:hyperlink r:id="rId21" w:history="1">
        <w:r>
          <w:rPr>
            <w:rFonts w:ascii="Arial" w:hAnsi="Arial" w:cs="Arial"/>
            <w:color w:val="0000FF"/>
            <w:sz w:val="20"/>
            <w:szCs w:val="20"/>
          </w:rPr>
          <w:t>статьи 67</w:t>
        </w:r>
      </w:hyperlink>
      <w:r>
        <w:rPr>
          <w:rFonts w:ascii="Arial" w:hAnsi="Arial" w:cs="Arial"/>
          <w:sz w:val="20"/>
          <w:szCs w:val="20"/>
        </w:rPr>
        <w:t xml:space="preserve"> ГПК РФ представленные доказательства, суд пришел к обоснованному выводу о том, что, хотя Ж. были допущены неточность и неполнота представляемых сведений о доходах, расходах, об имуществе и обязательствах имущественного характера, в ходе судебного разбирательства ответчиком были представлены доказательства, восполняющие данный пробел.</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Представленный ответчиком договор займа, заключенный между Ж.Л. и Ж.И., не признан в установленном порядке недействительным.</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таких обстоятельствах суд правомерно отказал в удовлетворении заявленных прокурором требований.</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Пример N 2</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Прокурор города обратился в суд с заявлением к главному специалисту отдела торговли и услуг управления по потребительскому рынку администрации города Ф. об обращении в доход Российской Федерации квартиры.</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Судом установлено, что в течение отчетного периода Ф. приобретена квартира стоимостью 1 900 000 руб. При этом сумма сделки превысила совокупный доход Ф., ее супруга и несовершеннолетнего сына за три года, предшествовавших отчетному периоду, составивший согласно представленным прокурором сведениям 1 676 915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ходе осуществления контроля за расходами Ф. поясняла, что источником получения средств, за счет которых приобретена квартира, являются накопления заработной платы за предыдущие годы, а также денежные средства, полученные по договору дарения от близких родственников.</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положениями </w:t>
      </w:r>
      <w:hyperlink r:id="rId22" w:history="1">
        <w:r>
          <w:rPr>
            <w:rFonts w:ascii="Arial" w:hAnsi="Arial" w:cs="Arial"/>
            <w:color w:val="0000FF"/>
            <w:sz w:val="20"/>
            <w:szCs w:val="20"/>
          </w:rPr>
          <w:t>статьи 56</w:t>
        </w:r>
      </w:hyperlink>
      <w:r>
        <w:rPr>
          <w:rFonts w:ascii="Arial" w:hAnsi="Arial" w:cs="Arial"/>
          <w:sz w:val="20"/>
          <w:szCs w:val="20"/>
        </w:rPr>
        <w:t xml:space="preserve"> ГПК РФ судом был вынесен на обсуждение как обстоятельство, имеющее значение для правильного разрешения дела, вопрос о реальности получения денежных средств Ф. по договорам дарения, а также были ли эти средства направлены на приобретение спорного имущества.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ходатайству ответчика Ф. судом были допрошены свидетели, подтвердившие передачу в дар Ф. от свекрови в 2008 г. денежных средств в размере 150 000 руб. и от матери в 2013 г. в размере 400 000 руб. Также были представлены выписки из лицевого счета Ф., согласно которым в 2013 г. на него поступили денежные средства в размере 1 550 000 руб., перечисленные покупателем за квартиру, принадлежавшую ее матери, от имени которой выступала по доверенности ответчик Ф.</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Оценив по правилам </w:t>
      </w:r>
      <w:hyperlink r:id="rId23" w:history="1">
        <w:r>
          <w:rPr>
            <w:rFonts w:ascii="Arial" w:hAnsi="Arial" w:cs="Arial"/>
            <w:color w:val="0000FF"/>
            <w:sz w:val="20"/>
            <w:szCs w:val="20"/>
          </w:rPr>
          <w:t>статьи 67</w:t>
        </w:r>
      </w:hyperlink>
      <w:r>
        <w:rPr>
          <w:rFonts w:ascii="Arial" w:hAnsi="Arial" w:cs="Arial"/>
          <w:sz w:val="20"/>
          <w:szCs w:val="20"/>
        </w:rPr>
        <w:t xml:space="preserve"> ГПК РФ представленные сторонами доказательства, суды первой и апелляционной инстанций пришли к выводу о том, что при рассмотрении дела нашел доказательственное подтверждение факт приобретения Ф. квартиры за счет собственных накоплений и денежных средств, полученных в дар от близких родственников.</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таких обстоятельствах суд правомерно отказал в удовлетворении заявленных прокурором требований.</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Пример N 3</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Решением районного суда, оставленным без изменения определением судебной коллегии по гражданским делам областного суда, отказано в удовлетворении заявления прокурора о взыскании в доход Российской Федерации со специалиста-эксперта отдела регистрации прав на объекты недвижимого имущества территориального органа Росреестра С. денежной суммы.</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Оценив по правилам </w:t>
      </w:r>
      <w:hyperlink r:id="rId24" w:history="1">
        <w:r>
          <w:rPr>
            <w:rFonts w:ascii="Arial" w:hAnsi="Arial" w:cs="Arial"/>
            <w:color w:val="0000FF"/>
            <w:sz w:val="20"/>
            <w:szCs w:val="20"/>
          </w:rPr>
          <w:t>статьи 67</w:t>
        </w:r>
      </w:hyperlink>
      <w:r>
        <w:rPr>
          <w:rFonts w:ascii="Arial" w:hAnsi="Arial" w:cs="Arial"/>
          <w:sz w:val="20"/>
          <w:szCs w:val="20"/>
        </w:rPr>
        <w:t xml:space="preserve"> ГПК РФ представленные доказательства, суд пришел к выводу о доказанности С. законности происхождения денежных средств, затраченных ею на приобретение квартиры. Судом учтены объяснения ответчика и показания свидетелей о том, что денежные средства были подарены с целью приобретения жилья для себя и двоих несовершеннолетних детей бывшей свекровью В. на основании устного договора. При этом представленными доказательствами, а именно: справками о доходах по форме 2-НДФЛ, договором купли-продажи, согласно которому В. была отчуждена другая квартира по цене 1 500 000 руб., информацией о движении денежных средств на банковских счетах - была подтверждена реальность получения С. денежных средств по договору дарения от В. и, тем самым, законность происхождения средств, затраченных на приобретение спорного имущества.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распространяются на депутатов законодательного (представительного) органа государственной власти субъекта Российской Федерации независимо от того, осуществляет он свои полномочия на профессиональной постоянной основе, или на профессиональной основе в определенный период, или без отрыва от основной деятельности.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Прокурор области обратился в суд с заявлением к Р. и другим об обращении имущества в доход Российской Федерации.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Судом установлено, что Р. является депутатом областного Совета народных депутатов и осуществляет депутатскую деятельность без отрыва от основной деятельности.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2013 г. Р. заключил две сделки купли-продажи по приобретению объектов недвижимого имущества на общую сумму 28 175 000 руб. Подтвержденный доход Р. за три последних года, предшествующих отчетному периоду, составил 5 410 252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Отклоняя доводы Р. о невозможности осуществления контроля за расходами и изъятия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судебные инстанции обоснованно исходили из того, что действующее законодательство устанавливает возможность контроля за расходами депутатов законодательных (представительных) органов государственной власти субъектов Российской Федерации независимо от того, </w:t>
      </w:r>
      <w:r>
        <w:rPr>
          <w:rFonts w:ascii="Arial" w:hAnsi="Arial" w:cs="Arial"/>
          <w:sz w:val="20"/>
          <w:szCs w:val="20"/>
        </w:rPr>
        <w:lastRenderedPageBreak/>
        <w:t>осуществляют они свои полномочия на профессиональной постоянной основе, или на профессиональной основе в определенный период, или без отрыва от основной деятельности (</w:t>
      </w:r>
      <w:hyperlink r:id="rId26" w:history="1">
        <w:r>
          <w:rPr>
            <w:rFonts w:ascii="Arial" w:hAnsi="Arial" w:cs="Arial"/>
            <w:color w:val="0000FF"/>
            <w:sz w:val="20"/>
            <w:szCs w:val="20"/>
          </w:rPr>
          <w:t>статья 8.1</w:t>
        </w:r>
      </w:hyperlink>
      <w:r>
        <w:rPr>
          <w:rFonts w:ascii="Arial" w:hAnsi="Arial" w:cs="Arial"/>
          <w:sz w:val="20"/>
          <w:szCs w:val="20"/>
        </w:rPr>
        <w:t xml:space="preserve"> Федерального закона "О противодействии коррупции", </w:t>
      </w:r>
      <w:hyperlink r:id="rId27" w:history="1">
        <w:r>
          <w:rPr>
            <w:rFonts w:ascii="Arial" w:hAnsi="Arial" w:cs="Arial"/>
            <w:color w:val="0000FF"/>
            <w:sz w:val="20"/>
            <w:szCs w:val="20"/>
          </w:rPr>
          <w:t>подпункт "г" пункта 1 части 1 статьи 2</w:t>
        </w:r>
      </w:hyperlink>
      <w:r>
        <w:rPr>
          <w:rFonts w:ascii="Arial" w:hAnsi="Arial" w:cs="Arial"/>
          <w:sz w:val="20"/>
          <w:szCs w:val="20"/>
        </w:rPr>
        <w:t xml:space="preserve"> Федерального закона "О контроле за соответствием расходов лиц, замещающих государственные должности, и иных лиц их доходам", </w:t>
      </w:r>
      <w:hyperlink r:id="rId28" w:history="1">
        <w:r>
          <w:rPr>
            <w:rFonts w:ascii="Arial" w:hAnsi="Arial" w:cs="Arial"/>
            <w:color w:val="0000FF"/>
            <w:sz w:val="20"/>
            <w:szCs w:val="20"/>
          </w:rPr>
          <w:t>пункты 3.1</w:t>
        </w:r>
      </w:hyperlink>
      <w:r>
        <w:rPr>
          <w:rFonts w:ascii="Arial" w:hAnsi="Arial" w:cs="Arial"/>
          <w:sz w:val="20"/>
          <w:szCs w:val="20"/>
        </w:rPr>
        <w:t xml:space="preserve"> - </w:t>
      </w:r>
      <w:hyperlink r:id="rId29" w:history="1">
        <w:r>
          <w:rPr>
            <w:rFonts w:ascii="Arial" w:hAnsi="Arial" w:cs="Arial"/>
            <w:color w:val="0000FF"/>
            <w:sz w:val="20"/>
            <w:szCs w:val="20"/>
          </w:rPr>
          <w:t>3.8 статьи 12</w:t>
        </w:r>
      </w:hyperlink>
      <w:r>
        <w:rPr>
          <w:rFonts w:ascii="Arial" w:hAnsi="Arial" w:cs="Arial"/>
          <w:sz w:val="20"/>
          <w:szCs w:val="20"/>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подлежат контролю за расходами сделки, совершенные супругом (супругой) лица, в отношении которого осуществляется контроль за расходами, в течение отчетного периода, но до вступления в брак с этим лицом. Имущество, полученное по таким сделкам, не может быть обращено в доход Российской Федерации в порядке, предусмотренном </w:t>
      </w:r>
      <w:hyperlink r:id="rId30" w:history="1">
        <w:r>
          <w:rPr>
            <w:rFonts w:ascii="Arial" w:hAnsi="Arial" w:cs="Arial"/>
            <w:color w:val="0000FF"/>
            <w:sz w:val="20"/>
            <w:szCs w:val="20"/>
          </w:rPr>
          <w:t>подпунктом 8 пункта 2 статьи 235</w:t>
        </w:r>
      </w:hyperlink>
      <w:r>
        <w:rPr>
          <w:rFonts w:ascii="Arial" w:hAnsi="Arial" w:cs="Arial"/>
          <w:sz w:val="20"/>
          <w:szCs w:val="20"/>
        </w:rPr>
        <w:t xml:space="preserve"> ГК РФ.</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Прокурор обратился в суд к В.С., замещающей должность специалиста-эксперта отдела учета и работы с налогоплательщиками инспекции ФНС, и ее супругу В.Р. с заявлением об обращении имущества в доход Российской Федерации.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Судом установлено, что 8 мая 2014 г. на основании договора купли-продажи В.С. и В.Р. приобретены по </w:t>
      </w:r>
      <w:r>
        <w:rPr>
          <w:rFonts w:ascii="Arial" w:hAnsi="Arial" w:cs="Arial"/>
          <w:noProof/>
          <w:position w:val="-14"/>
          <w:sz w:val="20"/>
          <w:szCs w:val="20"/>
          <w:lang w:eastAsia="ru-RU"/>
        </w:rPr>
        <w:drawing>
          <wp:inline distT="0" distB="0" distL="0" distR="0">
            <wp:extent cx="2286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Pr>
          <w:rFonts w:ascii="Arial" w:hAnsi="Arial" w:cs="Arial"/>
          <w:sz w:val="20"/>
          <w:szCs w:val="20"/>
        </w:rPr>
        <w:t xml:space="preserve"> доли в праве собственности на земельный участок и жилой дом стоимостью 990 000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сентября 2014 г. В.Р. приобретен автомобиль стоимостью 1 234 900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ноября 2014 г. В.С. и В.Р. заключили брак.</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положениями </w:t>
      </w:r>
      <w:hyperlink r:id="rId32" w:history="1">
        <w:r>
          <w:rPr>
            <w:rFonts w:ascii="Arial" w:hAnsi="Arial" w:cs="Arial"/>
            <w:color w:val="0000FF"/>
            <w:sz w:val="20"/>
            <w:szCs w:val="20"/>
          </w:rPr>
          <w:t>пункта 2 статьи 256</w:t>
        </w:r>
      </w:hyperlink>
      <w:r>
        <w:rPr>
          <w:rFonts w:ascii="Arial" w:hAnsi="Arial" w:cs="Arial"/>
          <w:sz w:val="20"/>
          <w:szCs w:val="20"/>
        </w:rPr>
        <w:t xml:space="preserve"> ГК РФ, </w:t>
      </w:r>
      <w:hyperlink r:id="rId33" w:history="1">
        <w:r>
          <w:rPr>
            <w:rFonts w:ascii="Arial" w:hAnsi="Arial" w:cs="Arial"/>
            <w:color w:val="0000FF"/>
            <w:sz w:val="20"/>
            <w:szCs w:val="20"/>
          </w:rPr>
          <w:t>пункта 1 статьи 36</w:t>
        </w:r>
      </w:hyperlink>
      <w:r>
        <w:rPr>
          <w:rFonts w:ascii="Arial" w:hAnsi="Arial" w:cs="Arial"/>
          <w:sz w:val="20"/>
          <w:szCs w:val="20"/>
        </w:rPr>
        <w:t xml:space="preserve"> Семейного кодекса Российской Федерации имущество, принадлежавшее каждому из супругов до вступления в брак, является его собственностью.</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Исходя из времени возникновения права собственности на имущество, суд пришел к выводу о том, что </w:t>
      </w:r>
      <w:r>
        <w:rPr>
          <w:rFonts w:ascii="Arial" w:hAnsi="Arial" w:cs="Arial"/>
          <w:noProof/>
          <w:position w:val="-14"/>
          <w:sz w:val="20"/>
          <w:szCs w:val="20"/>
          <w:lang w:eastAsia="ru-RU"/>
        </w:rPr>
        <w:drawing>
          <wp:inline distT="0" distB="0" distL="0" distR="0">
            <wp:extent cx="2286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Pr>
          <w:rFonts w:ascii="Arial" w:hAnsi="Arial" w:cs="Arial"/>
          <w:sz w:val="20"/>
          <w:szCs w:val="20"/>
        </w:rPr>
        <w:t xml:space="preserve"> доли в праве собственности на дом и земельный участок, а также автомобиль являются личной собственностью В.Р., поскольку приобретены до вступления в брак с В.С. При этом действующее законодательство не предусматривает возможности осуществления контроля за расходами лица, произведенными им до вступления в брак с лицом, в отношении которого осуществляется контроль за расходами. Имущество, полученное по таким сделкам, не может быть обращено в доход Российской Федерации в порядке, предусмотренном </w:t>
      </w:r>
      <w:hyperlink r:id="rId34" w:history="1">
        <w:r>
          <w:rPr>
            <w:rFonts w:ascii="Arial" w:hAnsi="Arial" w:cs="Arial"/>
            <w:color w:val="0000FF"/>
            <w:sz w:val="20"/>
            <w:szCs w:val="20"/>
          </w:rPr>
          <w:t>подпунктом 8 пункта 2 статьи 235</w:t>
        </w:r>
      </w:hyperlink>
      <w:r>
        <w:rPr>
          <w:rFonts w:ascii="Arial" w:hAnsi="Arial" w:cs="Arial"/>
          <w:sz w:val="20"/>
          <w:szCs w:val="20"/>
        </w:rPr>
        <w:t xml:space="preserve"> ГК РФ.</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Поскольку стоимость </w:t>
      </w:r>
      <w:r>
        <w:rPr>
          <w:rFonts w:ascii="Arial" w:hAnsi="Arial" w:cs="Arial"/>
          <w:noProof/>
          <w:position w:val="-14"/>
          <w:sz w:val="20"/>
          <w:szCs w:val="20"/>
          <w:lang w:eastAsia="ru-RU"/>
        </w:rPr>
        <w:drawing>
          <wp:inline distT="0" distB="0" distL="0" distR="0">
            <wp:extent cx="2286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Pr>
          <w:rFonts w:ascii="Arial" w:hAnsi="Arial" w:cs="Arial"/>
          <w:sz w:val="20"/>
          <w:szCs w:val="20"/>
        </w:rPr>
        <w:t xml:space="preserve"> доли в праве собственности на жилой дом и земельный участок, приобретенной В.С. в 2014 г., составила 495 000 руб., что не превышает ее доход за три последних года, предшествующих отчетному периоду (725 665 руб.), в удовлетворении заявления прокурору было правомерно отказано.</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утраты должником имущества, которое было обращено в доход Российской Федерации, суд вправе изменить способ исполнения решения суда путем взыскания с должника стоимости такого имущества.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Вступившим в законную силу решением районного суда удовлетворено заявление прокурора края к К. об обращении имущества (автомашины) в доход Российской Федерации.</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Поскольку место нахождения подлежащего изъятию автомобиля установлено не было, судебный пристав-исполнитель обратился в суд с представлением об изменении способа исполнения решения суда путем взыскания с должника в пользу Российской Федерации стоимости автомашины в размере 863 000 руб.</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Определением районного суда способ исполнения решения суда изменен: с К. в доход Российской Федерации взыскана стоимость автомобиля.</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Определением судебной коллегии по гражданским делам краевого суда определение суда первой инстанции отменено, представление отдела судебных приставов оставлено без удовлетворения. При этом суд апелляционной инстанции исходил из того, что имеется возможность исполнить решение районного </w:t>
      </w:r>
      <w:r>
        <w:rPr>
          <w:rFonts w:ascii="Arial" w:hAnsi="Arial" w:cs="Arial"/>
          <w:sz w:val="20"/>
          <w:szCs w:val="20"/>
        </w:rPr>
        <w:lastRenderedPageBreak/>
        <w:t>суда способом, указанным в нем, а при изменении способа исполнения решения судом было изменено существо возникших между сторонами правоотношений.</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Отменяя определение судебной коллегии и оставляя в силе определение районного суда, президиум краевого суда указал на то, что положения гражданского процессуального закона, предусматривающие возможность изменения способа исполнения решения суда (</w:t>
      </w:r>
      <w:hyperlink r:id="rId35" w:history="1">
        <w:r>
          <w:rPr>
            <w:rFonts w:ascii="Arial" w:hAnsi="Arial" w:cs="Arial"/>
            <w:color w:val="0000FF"/>
            <w:sz w:val="20"/>
            <w:szCs w:val="20"/>
          </w:rPr>
          <w:t>статьи 203</w:t>
        </w:r>
      </w:hyperlink>
      <w:r>
        <w:rPr>
          <w:rFonts w:ascii="Arial" w:hAnsi="Arial" w:cs="Arial"/>
          <w:sz w:val="20"/>
          <w:szCs w:val="20"/>
        </w:rPr>
        <w:t xml:space="preserve">, </w:t>
      </w:r>
      <w:hyperlink r:id="rId36" w:history="1">
        <w:r>
          <w:rPr>
            <w:rFonts w:ascii="Arial" w:hAnsi="Arial" w:cs="Arial"/>
            <w:color w:val="0000FF"/>
            <w:sz w:val="20"/>
            <w:szCs w:val="20"/>
          </w:rPr>
          <w:t>434</w:t>
        </w:r>
      </w:hyperlink>
      <w:r>
        <w:rPr>
          <w:rFonts w:ascii="Arial" w:hAnsi="Arial" w:cs="Arial"/>
          <w:sz w:val="20"/>
          <w:szCs w:val="20"/>
        </w:rPr>
        <w:t xml:space="preserve"> ГПК РФ), не содержат ограничений или запретов для изменения способа исполнения решения суда об обращении в доход Российской Федерации имущества.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Установлено, что с момента вступления в законную силу решения суда должник К. действий по исполнению судебного акта в добровольном порядке не осуществила, своим недобросовестным поведением создала предпосылки к хищению транспортного средства. Заведомо зная о постановленном судом решении, мер к сохранности имущества не приняла, оставив транспортное средство с документами и ключами без присмотра, своевременно о хищении автомобиля в правоохранительные органы не сообщила.</w:t>
      </w:r>
    </w:p>
    <w:p w:rsidR="0094768B" w:rsidRDefault="0094768B" w:rsidP="009476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таких данных, а также учитывая нарушение судом апелляционной инстанции принципа неотвратимости ответственности за совершение коррупционных правонарушений, суд кассационной инстанции пришел к правильному выводу о возможности изменения способа исполнения решения суда путем взыскания в доход государства стоимости автомобиля.</w:t>
      </w:r>
    </w:p>
    <w:p w:rsidR="0094768B" w:rsidRDefault="0094768B" w:rsidP="0094768B">
      <w:pPr>
        <w:autoSpaceDE w:val="0"/>
        <w:autoSpaceDN w:val="0"/>
        <w:adjustRightInd w:val="0"/>
        <w:spacing w:after="0" w:line="240" w:lineRule="auto"/>
        <w:jc w:val="both"/>
        <w:rPr>
          <w:rFonts w:ascii="Arial" w:hAnsi="Arial" w:cs="Arial"/>
          <w:sz w:val="20"/>
          <w:szCs w:val="20"/>
        </w:rPr>
      </w:pPr>
    </w:p>
    <w:p w:rsidR="0094768B" w:rsidRDefault="0094768B" w:rsidP="0094768B">
      <w:pPr>
        <w:autoSpaceDE w:val="0"/>
        <w:autoSpaceDN w:val="0"/>
        <w:adjustRightInd w:val="0"/>
        <w:spacing w:after="0" w:line="240" w:lineRule="auto"/>
        <w:jc w:val="both"/>
        <w:rPr>
          <w:rFonts w:ascii="Arial" w:hAnsi="Arial" w:cs="Arial"/>
          <w:sz w:val="20"/>
          <w:szCs w:val="20"/>
        </w:rPr>
      </w:pPr>
    </w:p>
    <w:p w:rsidR="00101DA9" w:rsidRDefault="00101DA9">
      <w:bookmarkStart w:id="0" w:name="_GoBack"/>
      <w:bookmarkEnd w:id="0"/>
    </w:p>
    <w:sectPr w:rsidR="00101DA9" w:rsidSect="00CF0BD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57"/>
    <w:rsid w:val="00101DA9"/>
    <w:rsid w:val="0094768B"/>
    <w:rsid w:val="009F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6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6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91C6FFA43EAEC4A14ED9192C751FF080B06E819760B19AD40478F9H6J1N" TargetMode="External"/><Relationship Id="rId13" Type="http://schemas.openxmlformats.org/officeDocument/2006/relationships/hyperlink" Target="consultantplus://offline/ref=BAA591C6FFA43EAEC4A14ED9192C751FF380B96A8E9160B19AD40478F9610C5B5D6453649A2BA232H9J9N" TargetMode="External"/><Relationship Id="rId18" Type="http://schemas.openxmlformats.org/officeDocument/2006/relationships/hyperlink" Target="consultantplus://offline/ref=BAA591C6FFA43EAEC4A14ED9192C751FF380B96A8E9160B19AD40478F9H6J1N" TargetMode="External"/><Relationship Id="rId26" Type="http://schemas.openxmlformats.org/officeDocument/2006/relationships/hyperlink" Target="consultantplus://offline/ref=BAA591C6FFA43EAEC4A14ED9192C751FF389B86D829660B19AD40478F9610C5B5D645362H9JDN" TargetMode="External"/><Relationship Id="rId3" Type="http://schemas.openxmlformats.org/officeDocument/2006/relationships/settings" Target="settings.xml"/><Relationship Id="rId21" Type="http://schemas.openxmlformats.org/officeDocument/2006/relationships/hyperlink" Target="consultantplus://offline/ref=BAA591C6FFA43EAEC4A14ED9192C751FF380B96A8E9160B19AD40478F9610C5B5D6453649A2BA13FH9JCN" TargetMode="External"/><Relationship Id="rId34" Type="http://schemas.openxmlformats.org/officeDocument/2006/relationships/hyperlink" Target="consultantplus://offline/ref=BAA591C6FFA43EAEC4A14ED9192C751FF38AB8648F9660B19AD40478F9610C5B5D6453679BH2JEN" TargetMode="External"/><Relationship Id="rId7" Type="http://schemas.openxmlformats.org/officeDocument/2006/relationships/hyperlink" Target="consultantplus://offline/ref=BAA591C6FFA43EAEC4A14ED9192C751FF080B06E819760B19AD40478F9H6J1N" TargetMode="External"/><Relationship Id="rId12" Type="http://schemas.openxmlformats.org/officeDocument/2006/relationships/hyperlink" Target="consultantplus://offline/ref=BAA591C6FFA43EAEC4A14ED9192C751FF38AB8648F9660B19AD40478F9610C5B5D6453679BH2JEN" TargetMode="External"/><Relationship Id="rId17" Type="http://schemas.openxmlformats.org/officeDocument/2006/relationships/hyperlink" Target="consultantplus://offline/ref=BAA591C6FFA43EAEC4A14ED9192C751FF080B06E819760B19AD40478F9610C5B5D6453649A2BA236H9J2N" TargetMode="External"/><Relationship Id="rId25" Type="http://schemas.openxmlformats.org/officeDocument/2006/relationships/hyperlink" Target="consultantplus://offline/ref=BAA591C6FFA43EAEC4A14ED9192C751FF080B06E819760B19AD40478F9610C5B5D6453649A2BA236H9J2N" TargetMode="External"/><Relationship Id="rId33" Type="http://schemas.openxmlformats.org/officeDocument/2006/relationships/hyperlink" Target="consultantplus://offline/ref=BAA591C6FFA43EAEC4A14ED9192C751FF380BA6B8E9B60B19AD40478F9610C5B5D6453649A2BA230H9JDN"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AA591C6FFA43EAEC4A14ED9192C751FF080B06E819760B19AD40478F9610C5B5D6453649A2BA235H9JBN" TargetMode="External"/><Relationship Id="rId20" Type="http://schemas.openxmlformats.org/officeDocument/2006/relationships/hyperlink" Target="consultantplus://offline/ref=BAA591C6FFA43EAEC4A14ED9192C751FF38AB8648F9660B19AD40478F9610C5B5D6453679BH2JEN" TargetMode="External"/><Relationship Id="rId29" Type="http://schemas.openxmlformats.org/officeDocument/2006/relationships/hyperlink" Target="consultantplus://offline/ref=BAA591C6FFA43EAEC4A14ED9192C751FF380B965869060B19AD40478F9610C5B5D6453619CH2J9N" TargetMode="External"/><Relationship Id="rId1" Type="http://schemas.openxmlformats.org/officeDocument/2006/relationships/styles" Target="styles.xml"/><Relationship Id="rId6" Type="http://schemas.openxmlformats.org/officeDocument/2006/relationships/hyperlink" Target="consultantplus://offline/ref=BAA591C6FFA43EAEC4A14ED9192C751FF388BB6F839160B19AD40478F9610C5B5D6453649A2BA33FH9JCN" TargetMode="External"/><Relationship Id="rId11" Type="http://schemas.openxmlformats.org/officeDocument/2006/relationships/hyperlink" Target="consultantplus://offline/ref=BAA591C6FFA43EAEC4A14ED9192C751FF080B06E819760B19AD40478F9610C5B5D6453649A2BA234H9J3N" TargetMode="External"/><Relationship Id="rId24" Type="http://schemas.openxmlformats.org/officeDocument/2006/relationships/hyperlink" Target="consultantplus://offline/ref=BAA591C6FFA43EAEC4A14ED9192C751FF380B96A8E9160B19AD40478F9610C5B5D6453649A2BA13FH9JCN" TargetMode="External"/><Relationship Id="rId32" Type="http://schemas.openxmlformats.org/officeDocument/2006/relationships/hyperlink" Target="consultantplus://offline/ref=BAA591C6FFA43EAEC4A14ED9192C751FF38AB8648F9660B19AD40478F9610C5B5D6453649A2AA032H9JFN" TargetMode="External"/><Relationship Id="rId37" Type="http://schemas.openxmlformats.org/officeDocument/2006/relationships/fontTable" Target="fontTable.xml"/><Relationship Id="rId5" Type="http://schemas.openxmlformats.org/officeDocument/2006/relationships/hyperlink" Target="consultantplus://offline/ref=BAA591C6FFA43EAEC4A14ED9192C751FF388BB6F839160B19AD40478F9610C5B5D6453649A2BA337H9JAN" TargetMode="External"/><Relationship Id="rId15" Type="http://schemas.openxmlformats.org/officeDocument/2006/relationships/hyperlink" Target="consultantplus://offline/ref=BAA591C6FFA43EAEC4A14ED9192C751FF080B06E819760B19AD40478F9610C5B5D6453649A2BA334H9JDN" TargetMode="External"/><Relationship Id="rId23" Type="http://schemas.openxmlformats.org/officeDocument/2006/relationships/hyperlink" Target="consultantplus://offline/ref=BAA591C6FFA43EAEC4A14ED9192C751FF380B96A8E9160B19AD40478F9610C5B5D6453649A2BA13FH9JCN" TargetMode="External"/><Relationship Id="rId28" Type="http://schemas.openxmlformats.org/officeDocument/2006/relationships/hyperlink" Target="consultantplus://offline/ref=BAA591C6FFA43EAEC4A14ED9192C751FF380B965869060B19AD40478F9610C5B5D6453619CH2JAN" TargetMode="External"/><Relationship Id="rId36" Type="http://schemas.openxmlformats.org/officeDocument/2006/relationships/hyperlink" Target="consultantplus://offline/ref=BAA591C6FFA43EAEC4A14ED9192C751FF380B96A8E9160B19AD40478F9610C5B5D6453649A29A333H9JBN" TargetMode="External"/><Relationship Id="rId10" Type="http://schemas.openxmlformats.org/officeDocument/2006/relationships/hyperlink" Target="consultantplus://offline/ref=BAA591C6FFA43EAEC4A14ED9192C751FF080B06E819760B19AD40478F9H6J1N" TargetMode="External"/><Relationship Id="rId19" Type="http://schemas.openxmlformats.org/officeDocument/2006/relationships/hyperlink" Target="consultantplus://offline/ref=BAA591C6FFA43EAEC4A14ED9192C751FF380B96A8E9160B19AD40478F9H6J1N" TargetMode="External"/><Relationship Id="rId3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BAA591C6FFA43EAEC4A14ED9192C751FF389B86D829660B19AD40478F9610C5B5D645362H9JDN" TargetMode="External"/><Relationship Id="rId14" Type="http://schemas.openxmlformats.org/officeDocument/2006/relationships/hyperlink" Target="consultantplus://offline/ref=BAA591C6FFA43EAEC4A14ED9192C751FF380B96A8E9160B19AD40478F9610C5B5D6453649A2BA130H9JAN" TargetMode="External"/><Relationship Id="rId22" Type="http://schemas.openxmlformats.org/officeDocument/2006/relationships/hyperlink" Target="consultantplus://offline/ref=BAA591C6FFA43EAEC4A14ED9192C751FF380B96A8E9160B19AD40478F9610C5B5D6453649A2BA130H9JBN" TargetMode="External"/><Relationship Id="rId27" Type="http://schemas.openxmlformats.org/officeDocument/2006/relationships/hyperlink" Target="consultantplus://offline/ref=BAA591C6FFA43EAEC4A14ED9192C751FF080B06E819760B19AD40478F9610C5B5D6453649A2BA235H9J8N" TargetMode="External"/><Relationship Id="rId30" Type="http://schemas.openxmlformats.org/officeDocument/2006/relationships/hyperlink" Target="consultantplus://offline/ref=BAA591C6FFA43EAEC4A14ED9192C751FF38AB8648F9660B19AD40478F9610C5B5D6453679BH2JEN" TargetMode="External"/><Relationship Id="rId35" Type="http://schemas.openxmlformats.org/officeDocument/2006/relationships/hyperlink" Target="consultantplus://offline/ref=BAA591C6FFA43EAEC4A14ED9192C751FF380B96A8E9160B19AD40478F9610C5B5D6453649A2BAA32H9J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3686</Words>
  <Characters>21015</Characters>
  <Application>Microsoft Office Word</Application>
  <DocSecurity>0</DocSecurity>
  <Lines>175</Lines>
  <Paragraphs>49</Paragraphs>
  <ScaleCrop>false</ScaleCrop>
  <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2017-12-14T13:12:00Z</dcterms:created>
  <dcterms:modified xsi:type="dcterms:W3CDTF">2017-12-14T13:12:00Z</dcterms:modified>
</cp:coreProperties>
</file>